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016A" w14:textId="77777777" w:rsidR="00A040D0" w:rsidRPr="007F4CC8" w:rsidRDefault="00A040D0" w:rsidP="00A040D0">
      <w:pPr>
        <w:pStyle w:val="Annexetitre"/>
        <w:rPr>
          <w:b w:val="0"/>
        </w:rPr>
      </w:pPr>
      <w:r>
        <w:t>PŘÍLOHA IV – Pokyny k zpřístupňování informací o cílech a zásadách v oblasti řízení rizik</w:t>
      </w:r>
    </w:p>
    <w:p w14:paraId="54412256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61CF2D7C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>Tabulka EU OVA – Přístup instituce k řízení rizik:</w:t>
      </w:r>
      <w:r>
        <w:rPr>
          <w:rFonts w:ascii="Times New Roman" w:hAnsi="Times New Roman"/>
          <w:sz w:val="24"/>
        </w:rPr>
        <w:t xml:space="preserve"> Pole s volně zadávanými kvalitativními informacemi</w:t>
      </w:r>
    </w:p>
    <w:p w14:paraId="6410CBA1" w14:textId="56AB6827" w:rsidR="00A040D0" w:rsidRPr="007F4CC8" w:rsidRDefault="00A040D0" w:rsidP="00A040D0">
      <w:pPr>
        <w:pStyle w:val="ListParagraph"/>
        <w:numPr>
          <w:ilvl w:val="0"/>
          <w:numId w:val="2"/>
        </w:numPr>
        <w:spacing w:before="120" w:after="12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Informace uvedené v čl. 435 odst. 1 nařízení (EU) č. 575/2013</w:t>
      </w:r>
      <w:r w:rsidRPr="007F4CC8">
        <w:rPr>
          <w:rStyle w:val="FootnoteReference"/>
        </w:rPr>
        <w:footnoteReference w:id="1"/>
      </w:r>
      <w:r>
        <w:rPr>
          <w:rFonts w:ascii="Times New Roman" w:hAnsi="Times New Roman"/>
          <w:sz w:val="24"/>
        </w:rPr>
        <w:t xml:space="preserve"> (dále jen „CRR“) zpřístupňují instituce podle následujících pokynů k vyplnění tabulky EU OVA, obsažené v příloze III IT řešení orgánu EBA.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040D0" w:rsidRPr="007F4CC8" w14:paraId="65B1C3A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60DAAB" w14:textId="77777777" w:rsidR="00A040D0" w:rsidRPr="007F4CC8" w:rsidRDefault="00A040D0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A040D0" w:rsidRPr="007F4CC8" w14:paraId="65393185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FAB253F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3C0C45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A040D0" w:rsidRPr="007F4CC8" w14:paraId="1644152E" w14:textId="77777777" w:rsidTr="00D819DE">
        <w:trPr>
          <w:trHeight w:val="1803"/>
        </w:trPr>
        <w:tc>
          <w:tcPr>
            <w:tcW w:w="1384" w:type="dxa"/>
          </w:tcPr>
          <w:p w14:paraId="5E2D9514" w14:textId="77777777" w:rsidR="00A040D0" w:rsidRPr="007F4CC8" w:rsidRDefault="00A040D0" w:rsidP="00D819DE">
            <w:pPr>
              <w:pStyle w:val="Applicationdirecte"/>
              <w:spacing w:before="120"/>
            </w:pPr>
            <w:r>
              <w:t>a)</w:t>
            </w:r>
          </w:p>
        </w:tc>
        <w:tc>
          <w:tcPr>
            <w:tcW w:w="7655" w:type="dxa"/>
          </w:tcPr>
          <w:p w14:paraId="15BD1156" w14:textId="77777777" w:rsidR="00A040D0" w:rsidRPr="007F4CC8" w:rsidRDefault="00A040D0" w:rsidP="00D819D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Stručné prohlášení o riziku schválené vedoucím orgánem při uplatnění čl. 435 odst. 1 písm. f) CRR popisuje, jak model podnikání určuje celkový rizikový profil a jak je s ním propojen: například klíčová rizika související s modelem podnikání a to, jak se každé z těchto rizik odráží a popisuje ve zpřístupněných údajích o riziku nebo jak je rizikový profil instituce propojen s tolerancí rizik schválenou vedoucím orgánem.</w:t>
            </w:r>
          </w:p>
          <w:p w14:paraId="114EC765" w14:textId="77777777" w:rsidR="00A040D0" w:rsidRPr="007F4CC8" w:rsidRDefault="00A040D0" w:rsidP="00D819DE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 prohlášení o riziku při uplatnění čl. 435 odst. 1 písm. f) CRR uvádějí instituce rovněž povahu, rozsah, účel a ekonomickou podstatu podstatných transakcí v rámci skupiny, přidružených společností a spřízněných stran. Zpřístupnění informací by mělo být omezeno na transakce, které mají podstatný dopad na rizikový profil instituce (včetně rizika poškození pověsti) nebo rozdělení rizik v rámci skupiny. Instituce rovněž zahrnou klíčové ukazatele a údaje, které ukazují, jak je rizikový profil instituce propojen s tolerancí k riziku stanovenou vedoucím orgánem.</w:t>
            </w:r>
          </w:p>
        </w:tc>
      </w:tr>
      <w:tr w:rsidR="00A040D0" w:rsidRPr="007F4CC8" w14:paraId="6DC348D0" w14:textId="77777777" w:rsidTr="00D819DE">
        <w:trPr>
          <w:trHeight w:val="316"/>
        </w:trPr>
        <w:tc>
          <w:tcPr>
            <w:tcW w:w="1384" w:type="dxa"/>
          </w:tcPr>
          <w:p w14:paraId="4CED54F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</w:tc>
        <w:tc>
          <w:tcPr>
            <w:tcW w:w="7655" w:type="dxa"/>
          </w:tcPr>
          <w:p w14:paraId="47E22821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informacím, které mají být zpřístupněny při uplatnění čl. 435 odst. 1 písm. b) CRR, patří struktura řídicího a kontrolního systému pro jednotlivé druhy rizik: funkce přidělené v rámci instituce (sem případně patří dohled a přenesení pravomoci a rozdělení funkcí mezi vedoucí orgán, obchodní útvary a útvar řízení rizik podle druhu rizika, obchodního útvaru a další příslušné informace); vztahy mezi orgány a útvary, které se angažují v procesech řízení rizik (sem patří podle potřeby vedoucí orgán, výbor pro rizika, útvar řízení rizik, funkce kontroly dodržování předpisů (compliance), útvar interního auditu); a organizační postupy a postupy vnitřní kontroly. </w:t>
            </w:r>
          </w:p>
          <w:p w14:paraId="4A2A58FF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Při zpřístupňování informací o struktuře a organizaci příslušné funkce řízení rizik instituce doplní zveřejnění o tyto informace: </w:t>
            </w:r>
          </w:p>
          <w:p w14:paraId="55A514C3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informace o celkovém rámci interní kontroly a organizaci kontrolních funkcí (pravomoc, zdroje, stanovy, nezávislost), hlavní úkoly, které plní, a jakékoli současné a plánované významné změny těchto funkcí, </w:t>
            </w:r>
          </w:p>
          <w:p w14:paraId="391A6CC9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schválené limity rizik, kterým je instituce vystavena, </w:t>
            </w:r>
          </w:p>
          <w:p w14:paraId="45CC1CBB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změny vedoucích útvarů interní kontroly, řízení rizik, funkce kontroly dodržování předpisů (compliance) a interního auditu,</w:t>
            </w:r>
          </w:p>
          <w:p w14:paraId="4277173D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způsoby sdělování, snižování a vymáhání kultury rizik v rámci instituce (např. zda existují kodexy chování, manuály obsahující provozní limity nebo postupy při porušení nebo překročení rizikových prahů nebo postupy, jak upozornit na problémy související s riziky a jak je sdílet mezi obchodními útvary a útvary pro rizika).</w:t>
            </w:r>
          </w:p>
        </w:tc>
      </w:tr>
      <w:tr w:rsidR="00A040D0" w:rsidRPr="007F4CC8" w14:paraId="2B280C9F" w14:textId="77777777" w:rsidTr="00D819DE">
        <w:trPr>
          <w:trHeight w:val="316"/>
        </w:trPr>
        <w:tc>
          <w:tcPr>
            <w:tcW w:w="1384" w:type="dxa"/>
          </w:tcPr>
          <w:p w14:paraId="77CD429A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c)</w:t>
            </w:r>
          </w:p>
        </w:tc>
        <w:tc>
          <w:tcPr>
            <w:tcW w:w="7655" w:type="dxa"/>
          </w:tcPr>
          <w:p w14:paraId="188115A5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Prohlášení, které instituce zveřejňují podle čl. 435 odst. 1 písm. e) CRR o přiměřenosti opatření k řízení rizik, musí být schváleno vedoucím orgánem a musí poskytovat záruku, že zavedené systémy řízení rizik jsou přiměřené s ohledem na rizikový profil a strategii instituce.</w:t>
            </w:r>
          </w:p>
        </w:tc>
      </w:tr>
      <w:tr w:rsidR="00A040D0" w:rsidRPr="007F4CC8" w14:paraId="104296D4" w14:textId="77777777" w:rsidTr="00D819DE">
        <w:trPr>
          <w:trHeight w:val="316"/>
        </w:trPr>
        <w:tc>
          <w:tcPr>
            <w:tcW w:w="1384" w:type="dxa"/>
          </w:tcPr>
          <w:p w14:paraId="3A78F3A6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</w:p>
        </w:tc>
        <w:tc>
          <w:tcPr>
            <w:tcW w:w="7655" w:type="dxa"/>
          </w:tcPr>
          <w:p w14:paraId="4D27F082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 rámci zpřístupnění informací požadovaných v čl. 435 odst. 1 písm. c) CRR instituce zpřístupňují rozsah a povahu systémů hlášení a/nebo měření rizik a popis toku informací o riziku k vedoucímu orgánu a vrcholnému vedení. </w:t>
            </w:r>
          </w:p>
        </w:tc>
      </w:tr>
      <w:tr w:rsidR="00A040D0" w:rsidRPr="007F4CC8" w14:paraId="26185CFD" w14:textId="77777777" w:rsidTr="00D819DE">
        <w:trPr>
          <w:trHeight w:val="316"/>
        </w:trPr>
        <w:tc>
          <w:tcPr>
            <w:tcW w:w="1384" w:type="dxa"/>
          </w:tcPr>
          <w:p w14:paraId="65A0F03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e)</w:t>
            </w:r>
          </w:p>
        </w:tc>
        <w:tc>
          <w:tcPr>
            <w:tcW w:w="7655" w:type="dxa"/>
          </w:tcPr>
          <w:p w14:paraId="6A2B9C4E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Při poskytování informací o hlavních rysech systémů hlášení a měření rizik při uplatnění čl. 435 odst. 1 písm. c) CRR instituce zpřístupňují své zásady týkající se systematických a pravidelných přezkumů strategií řízení rizik a pravidelného hodnocení jejich účinnosti. </w:t>
            </w:r>
          </w:p>
        </w:tc>
      </w:tr>
      <w:tr w:rsidR="00A040D0" w:rsidRPr="007F4CC8" w14:paraId="6E7ABB82" w14:textId="77777777" w:rsidTr="00D819DE">
        <w:trPr>
          <w:trHeight w:val="316"/>
        </w:trPr>
        <w:tc>
          <w:tcPr>
            <w:tcW w:w="1384" w:type="dxa"/>
          </w:tcPr>
          <w:p w14:paraId="0FB42B0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f)</w:t>
            </w:r>
          </w:p>
        </w:tc>
        <w:tc>
          <w:tcPr>
            <w:tcW w:w="7655" w:type="dxa"/>
          </w:tcPr>
          <w:p w14:paraId="0DE39293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Zpřístupněné informace o strategiích a postupech řízení rizik při uplatnění čl. 435 odst. 1 písm. a) obsahují kvalitativní informace o zátěžovém testování, jako jsou portfolia, u nichž se zátěžové testování uplatňuje, přijaté scénáře a použité metodiky a využití zátěžového testování při řízení rizik. </w:t>
            </w:r>
          </w:p>
        </w:tc>
      </w:tr>
      <w:tr w:rsidR="00A040D0" w:rsidRPr="007F4CC8" w14:paraId="1D959299" w14:textId="77777777" w:rsidTr="00D819DE">
        <w:trPr>
          <w:trHeight w:val="316"/>
        </w:trPr>
        <w:tc>
          <w:tcPr>
            <w:tcW w:w="1384" w:type="dxa"/>
          </w:tcPr>
          <w:p w14:paraId="75786D93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g)</w:t>
            </w:r>
          </w:p>
        </w:tc>
        <w:tc>
          <w:tcPr>
            <w:tcW w:w="7655" w:type="dxa"/>
          </w:tcPr>
          <w:p w14:paraId="28108A47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 rizik, která vyplývají z podnikatelského modelu institucí, instituce poskytují informace o strategiích a postupech řízení, zajišťování a snižování rizik, jakož i sledování efektivity zajištění a snižování rizika podle čl. 435 odst. 1 písm. a) a d). </w:t>
            </w:r>
          </w:p>
        </w:tc>
      </w:tr>
    </w:tbl>
    <w:p w14:paraId="0E25B208" w14:textId="77777777" w:rsidR="00A040D0" w:rsidRPr="007F4CC8" w:rsidRDefault="00A040D0" w:rsidP="00A040D0">
      <w:pPr>
        <w:rPr>
          <w:rFonts w:ascii="Times New Roman" w:hAnsi="Times New Roman" w:cs="Times New Roman"/>
          <w:b/>
          <w:sz w:val="24"/>
        </w:rPr>
      </w:pPr>
    </w:p>
    <w:p w14:paraId="572B8418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Tabulka EU OVB – Zpřístupňování informací o systémech správy a řízení: </w:t>
      </w:r>
      <w:r>
        <w:rPr>
          <w:rFonts w:ascii="Times New Roman" w:hAnsi="Times New Roman"/>
          <w:sz w:val="24"/>
        </w:rPr>
        <w:t>Pole s volně zadávanými kvalitativními informacemi</w:t>
      </w:r>
    </w:p>
    <w:p w14:paraId="3B77667C" w14:textId="77777777" w:rsidR="00A040D0" w:rsidRPr="007F4CC8" w:rsidRDefault="00A040D0" w:rsidP="00A040D0">
      <w:pPr>
        <w:pStyle w:val="ListParagraph"/>
        <w:numPr>
          <w:ilvl w:val="0"/>
          <w:numId w:val="2"/>
        </w:numPr>
        <w:spacing w:before="120" w:after="12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Informace uvedené v čl. 435 odst. 2 CRR zpřístupňují instituce podle následujících pokynů k vyplnění tabulky EU OVB, obsažené v příloze III tohoto prováděcího nařízení.</w:t>
      </w:r>
    </w:p>
    <w:p w14:paraId="6EA36DBF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0EB63C44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A040D0" w:rsidRPr="007F4CC8" w14:paraId="31D1BB13" w14:textId="77777777" w:rsidTr="00D819DE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32A432" w14:textId="77777777" w:rsidR="00A040D0" w:rsidRPr="007F4CC8" w:rsidRDefault="00A040D0" w:rsidP="00D819D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Odkazy na právní předpisy a pokyny</w:t>
            </w:r>
          </w:p>
        </w:tc>
      </w:tr>
      <w:tr w:rsidR="00A040D0" w:rsidRPr="007F4CC8" w14:paraId="78F9F261" w14:textId="77777777" w:rsidTr="00D819DE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602A87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Řádek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F068A71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Vysvětlení</w:t>
            </w:r>
          </w:p>
        </w:tc>
      </w:tr>
      <w:tr w:rsidR="00A040D0" w:rsidRPr="007F4CC8" w14:paraId="64E4F6B1" w14:textId="77777777" w:rsidTr="00D819DE">
        <w:trPr>
          <w:trHeight w:val="316"/>
        </w:trPr>
        <w:tc>
          <w:tcPr>
            <w:tcW w:w="1384" w:type="dxa"/>
          </w:tcPr>
          <w:p w14:paraId="27D4719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</w:p>
        </w:tc>
        <w:tc>
          <w:tcPr>
            <w:tcW w:w="7655" w:type="dxa"/>
          </w:tcPr>
          <w:p w14:paraId="1C15AB1C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počet míst ve vedoucích orgánech společností zastávaný členy vedoucího orgánu podle čl. 435 odst. 2 písm. a) CRR. Při zpřístupnění těchto informací se použijí tyto specifikace:</w:t>
            </w:r>
          </w:p>
          <w:p w14:paraId="06520613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instituce v oblasti působnosti čl. 91 odst. 3 a 4 směrnice (EU) 2013/36</w:t>
            </w:r>
            <w:r w:rsidRPr="007F4CC8">
              <w:rPr>
                <w:rStyle w:val="FootnoteReference"/>
                <w:rFonts w:eastAsia="Times New Roman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 xml:space="preserve"> (dále jen „CRD“) zpřístupňují počet míst ve vedoucích orgánech vypočtený podle uvedeného článku,</w:t>
            </w:r>
          </w:p>
          <w:p w14:paraId="13BFC386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instituce uvedou počet funkcí ve vedoucím orgánu skutečně zastávaných každým členem vedoucího orgánu (ať už se jedná o společnost skupiny či nikoli, kvalifikovanou účast nebo instituci v rámci téhož institucionálního systému ochrany a ať už je funkce ve vedoucím orgánu výkonnou nebo nevýkonnou funkcí) bez ohledu na to, zda funkce ve vedoucím orgánu existuje v rámci subjektu, který sleduje nebo nesleduje obchodní cíl,</w:t>
            </w:r>
          </w:p>
          <w:p w14:paraId="3EBC9D22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pokud byla příslušným orgánem schválena další funkce ve vedoucím orgánu, všechny instituce, v nichž daný člen zastává funkci ve vedoucím orgánu, tuto skutečnost zveřejní spolu s názvem příslušného orgánu, který další funkci ve vedoucím orgánu schválil.</w:t>
            </w:r>
          </w:p>
        </w:tc>
      </w:tr>
      <w:tr w:rsidR="00A040D0" w:rsidRPr="007F4CC8" w14:paraId="42649F64" w14:textId="77777777" w:rsidTr="00D819DE">
        <w:trPr>
          <w:trHeight w:val="316"/>
        </w:trPr>
        <w:tc>
          <w:tcPr>
            <w:tcW w:w="1384" w:type="dxa"/>
          </w:tcPr>
          <w:p w14:paraId="3ED8E03C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b)</w:t>
            </w:r>
          </w:p>
        </w:tc>
        <w:tc>
          <w:tcPr>
            <w:tcW w:w="7655" w:type="dxa"/>
          </w:tcPr>
          <w:p w14:paraId="211F21E9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Při zpřístupňování informací týkajících se politiky přijímání pracovníků pro výběr členů vedoucího orgánu podle čl. 435 odst. 2 písm. b) CRR uvedou instituce informace o skutečných znalostech, dovednostech a zkušenostech členů. Instituce uvedou informace o politice, která případně vyplývá z plánování nástupnictví, a o všech předvídatelných změnách v celkovém složení vedoucího orgánu.</w:t>
            </w:r>
          </w:p>
        </w:tc>
      </w:tr>
      <w:tr w:rsidR="00A040D0" w:rsidRPr="007F4CC8" w14:paraId="18692714" w14:textId="77777777" w:rsidTr="00D819DE">
        <w:trPr>
          <w:trHeight w:val="316"/>
        </w:trPr>
        <w:tc>
          <w:tcPr>
            <w:tcW w:w="1384" w:type="dxa"/>
          </w:tcPr>
          <w:p w14:paraId="29439E90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</w:p>
        </w:tc>
        <w:tc>
          <w:tcPr>
            <w:tcW w:w="7655" w:type="dxa"/>
          </w:tcPr>
          <w:p w14:paraId="2226CEFC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Při zpřístupňování své politiky různorodosti podle čl. 435 odst. 2 písm. c) CRR instituce uvedou informace o cílech a veškerých příslušných cílových hodnotách stanovených v dané politice a o rozsahu, v jakém bylo těchto cílů a cílových hodnot dosaženo. </w:t>
            </w:r>
          </w:p>
          <w:p w14:paraId="45DF56C3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Instituce zpřístupňují zejména politiku týkající se genderové diverzity, včetně těchto údajů: </w:t>
            </w:r>
          </w:p>
          <w:p w14:paraId="2410600B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pokud byl stanoven cíl pro nedostatečně zastoupené pohlaví a pro politiky týkající se rozmanitosti co do věku, vzdělání, profesních zkušeností a zeměpisného původu, stanovenou cílovou hodnotu a rozsah, v jakém je cílů dosaženo, </w:t>
            </w:r>
          </w:p>
          <w:p w14:paraId="23413A60" w14:textId="77777777" w:rsidR="00A040D0" w:rsidRPr="007F4CC8" w:rsidRDefault="00A040D0" w:rsidP="00A040D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není-li cílové hodnoty dosaženo, instituce uvedou důvody a případně opatření přijatá ke splnění cílové hodnoty v určité lhůtě.</w:t>
            </w:r>
          </w:p>
        </w:tc>
      </w:tr>
      <w:tr w:rsidR="00A040D0" w:rsidRPr="007F4CC8" w14:paraId="39DE01E9" w14:textId="77777777" w:rsidTr="00D819DE">
        <w:trPr>
          <w:trHeight w:val="316"/>
        </w:trPr>
        <w:tc>
          <w:tcPr>
            <w:tcW w:w="1384" w:type="dxa"/>
          </w:tcPr>
          <w:p w14:paraId="150CF892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</w:p>
        </w:tc>
        <w:tc>
          <w:tcPr>
            <w:tcW w:w="7655" w:type="dxa"/>
          </w:tcPr>
          <w:p w14:paraId="2DA8A566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uvedou informace o tom, zda zřídily zvláštní výbor pro rizika a kolikrát tento výbor pro rizika zasedal, podle čl. 435 odst. 2 písm. d) CRR.</w:t>
            </w:r>
          </w:p>
        </w:tc>
      </w:tr>
      <w:tr w:rsidR="00A040D0" w:rsidRPr="007F4CC8" w14:paraId="0142566A" w14:textId="77777777" w:rsidTr="00D819DE">
        <w:trPr>
          <w:trHeight w:val="316"/>
        </w:trPr>
        <w:tc>
          <w:tcPr>
            <w:tcW w:w="1384" w:type="dxa"/>
          </w:tcPr>
          <w:p w14:paraId="14FC28E8" w14:textId="77777777" w:rsidR="00A040D0" w:rsidRPr="007F4CC8" w:rsidRDefault="00A040D0" w:rsidP="00D81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e)</w:t>
            </w:r>
          </w:p>
        </w:tc>
        <w:tc>
          <w:tcPr>
            <w:tcW w:w="7655" w:type="dxa"/>
          </w:tcPr>
          <w:p w14:paraId="28B9F6EB" w14:textId="77777777" w:rsidR="00A040D0" w:rsidRPr="007F4CC8" w:rsidRDefault="00A040D0" w:rsidP="00D819D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V rámci údajů o toku informací o riziku pro vedoucí orgán při uplatnění čl. 435 odst. 2 písm. e) CRR instituce popisují postup zveřejňování rizik vůči vedoucímu orgánu, zejména četnost, rozsah a hlavní obsah zpráv o rizikové expozici a způsob, jakým se vedoucí orgán podílel na vymezení obsahu, který má být zpřístupněn. </w:t>
            </w:r>
          </w:p>
        </w:tc>
      </w:tr>
    </w:tbl>
    <w:p w14:paraId="68F9C718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5157D277" w14:textId="77777777" w:rsidR="00A040D0" w:rsidRPr="007F4CC8" w:rsidRDefault="00A040D0" w:rsidP="00A040D0">
      <w:pPr>
        <w:rPr>
          <w:rFonts w:ascii="Times New Roman" w:hAnsi="Times New Roman" w:cs="Times New Roman"/>
          <w:sz w:val="24"/>
        </w:rPr>
      </w:pPr>
    </w:p>
    <w:p w14:paraId="3131F001" w14:textId="77777777" w:rsidR="00A040D0" w:rsidRPr="007F4CC8" w:rsidRDefault="00A040D0" w:rsidP="00A040D0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3D128DC" w14:textId="77777777" w:rsidR="004E3F4D" w:rsidRDefault="004E3F4D"/>
    <w:sectPr w:rsidR="004E3F4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D6E30" w14:textId="77777777" w:rsidR="001533DB" w:rsidRDefault="001533DB" w:rsidP="00A040D0">
      <w:r>
        <w:separator/>
      </w:r>
    </w:p>
  </w:endnote>
  <w:endnote w:type="continuationSeparator" w:id="0">
    <w:p w14:paraId="6FC9FCF0" w14:textId="77777777" w:rsidR="001533DB" w:rsidRDefault="001533DB" w:rsidP="00A0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2391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95991" w14:textId="77777777" w:rsidR="00A040D0" w:rsidRDefault="00A040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0F9DC5C7" w14:textId="77777777" w:rsidR="00A040D0" w:rsidRDefault="00A040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406A" w14:textId="77777777" w:rsidR="001533DB" w:rsidRDefault="001533DB" w:rsidP="00A040D0">
      <w:r>
        <w:separator/>
      </w:r>
    </w:p>
  </w:footnote>
  <w:footnote w:type="continuationSeparator" w:id="0">
    <w:p w14:paraId="3F6F22FD" w14:textId="77777777" w:rsidR="001533DB" w:rsidRDefault="001533DB" w:rsidP="00A040D0">
      <w:r>
        <w:continuationSeparator/>
      </w:r>
    </w:p>
  </w:footnote>
  <w:footnote w:id="1">
    <w:p w14:paraId="054C7A76" w14:textId="7D5B130B" w:rsidR="00A040D0" w:rsidRPr="00346640" w:rsidRDefault="00A040D0" w:rsidP="00A040D0">
      <w:pPr>
        <w:pStyle w:val="FootnoteText"/>
        <w:rPr>
          <w:rFonts w:eastAsia="Calibri"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Nařízení Evropského parlamentu a Rady (EU) č. 575/2013 ze dne 26. června 2013 o obezřetnostních požadavcích na úvěrové instituce a o změně nařízení (EU) č. 648/2012, ve znění nařízení (EU) 2024/1623 (</w:t>
      </w:r>
      <w:hyperlink r:id="rId1" w:history="1">
        <w:r>
          <w:rPr>
            <w:rStyle w:val="Hyperlink"/>
            <w:color w:val="800080"/>
          </w:rPr>
          <w:t>Úř. věst. L 176, 27.6.2013, s. 1</w:t>
        </w:r>
      </w:hyperlink>
      <w:r>
        <w:t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>Nařízení – EU – 2024/1623 – CS - EUR-Lex (europa.eu)</w:t>
        </w:r>
      </w:hyperlink>
      <w:r>
        <w:rPr>
          <w:color w:val="444444"/>
        </w:rPr>
        <w:t>)</w:t>
      </w:r>
      <w:r>
        <w:t>.</w:t>
      </w:r>
    </w:p>
  </w:footnote>
  <w:footnote w:id="2">
    <w:p w14:paraId="6202C474" w14:textId="77777777" w:rsidR="00A040D0" w:rsidRPr="00222AAB" w:rsidRDefault="00A040D0" w:rsidP="00A040D0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</w:t>
      </w:r>
      <w:r>
        <w:tab/>
        <w:t>SMĚRNICE EVROPSKÉHO PARLAMENTU A RADY 2013/36/EU ze dne 26. června 2013 o přístupu k činnosti úvěrových institucí a o obezřetnostním dohledu nad úvěrovými institucemi a investičními podniky, o změně směrnice 2002/87/ES a zrušení směrnic 2006/48/ES a 2006/49/ES (Úř. věst. L 176, 27.6.2013, s. 338).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12EE" w14:textId="1EBA7605" w:rsidR="00777266" w:rsidRDefault="0077726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4E678B" wp14:editId="1FCA4A8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497291729" name="Text Box 2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945629" w14:textId="6ABA208F" w:rsidR="00777266" w:rsidRPr="00777266" w:rsidRDefault="00777266" w:rsidP="0077726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E67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– pravidelné používání" style="position:absolute;margin-left:0;margin-top:0;width:100.25pt;height:29.6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" filled="f" stroked="f">
              <v:textbox style="mso-fit-shape-to-text:t" inset="20pt,15pt,0,0">
                <w:txbxContent>
                  <w:p w14:paraId="19945629" w14:textId="6ABA208F" w:rsidR="00777266" w:rsidRPr="00777266" w:rsidRDefault="00777266" w:rsidP="0077726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ED209" w14:textId="07B7AE20" w:rsidR="00777266" w:rsidRDefault="0077726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C9FAAE9" wp14:editId="1A76A668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1104282059" name="Text Box 3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B7988" w14:textId="6B6234BD" w:rsidR="00777266" w:rsidRPr="00777266" w:rsidRDefault="00777266" w:rsidP="0077726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FAAE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– pravidelné používání" style="position:absolute;margin-left:0;margin-top:0;width:100.25pt;height:29.6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" filled="f" stroked="f">
              <v:textbox style="mso-fit-shape-to-text:t" inset="20pt,15pt,0,0">
                <w:txbxContent>
                  <w:p w14:paraId="36AB7988" w14:textId="6B6234BD" w:rsidR="00777266" w:rsidRPr="00777266" w:rsidRDefault="00777266" w:rsidP="0077726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42D1" w14:textId="693C7074" w:rsidR="00777266" w:rsidRDefault="0077726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B2F592" wp14:editId="210626C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73175" cy="376555"/>
              <wp:effectExtent l="0" t="0" r="3175" b="4445"/>
              <wp:wrapNone/>
              <wp:docPr id="354450415" name="Text Box 1" descr="EBA – pravidelné používá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110976" w14:textId="32A4A2D9" w:rsidR="00777266" w:rsidRPr="00777266" w:rsidRDefault="00777266" w:rsidP="0077726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pravidelné používání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B2F5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– pravidelné používání" style="position:absolute;margin-left:0;margin-top:0;width:100.25pt;height:29.6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" filled="f" stroked="f">
              <v:textbox style="mso-fit-shape-to-text:t" inset="20pt,15pt,0,0">
                <w:txbxContent>
                  <w:p w14:paraId="12110976" w14:textId="32A4A2D9" w:rsidR="00777266" w:rsidRPr="00777266" w:rsidRDefault="00777266" w:rsidP="0077726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– pravidelné používání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9739D"/>
    <w:multiLevelType w:val="hybridMultilevel"/>
    <w:tmpl w:val="30404F74"/>
    <w:lvl w:ilvl="0" w:tplc="62D26C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438491">
    <w:abstractNumId w:val="1"/>
  </w:num>
  <w:num w:numId="2" w16cid:durableId="82590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94BEF"/>
    <w:rsid w:val="00094BEF"/>
    <w:rsid w:val="001533DB"/>
    <w:rsid w:val="0016520C"/>
    <w:rsid w:val="004E3F4D"/>
    <w:rsid w:val="00777266"/>
    <w:rsid w:val="009B3B08"/>
    <w:rsid w:val="00A040D0"/>
    <w:rsid w:val="00C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5F82A"/>
  <w15:chartTrackingRefBased/>
  <w15:docId w15:val="{1BB72DD4-38E2-4CBF-94CD-13DC822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D0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A040D0"/>
    <w:pPr>
      <w:spacing w:before="80" w:line="200" w:lineRule="exact"/>
      <w:ind w:left="567" w:hanging="567"/>
      <w:jc w:val="both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A040D0"/>
    <w:rPr>
      <w:rFonts w:eastAsiaTheme="minorEastAsia"/>
      <w:sz w:val="18"/>
      <w:szCs w:val="18"/>
      <w:lang w:val="cs-CZ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040D0"/>
    <w:rPr>
      <w:rFonts w:asciiTheme="minorHAnsi" w:hAnsiTheme="minorHAnsi"/>
      <w:sz w:val="22"/>
      <w:szCs w:val="18"/>
      <w:vertAlign w:val="superscript"/>
    </w:rPr>
  </w:style>
  <w:style w:type="paragraph" w:customStyle="1" w:styleId="Annexetitre">
    <w:name w:val="Annexe titre"/>
    <w:basedOn w:val="Normal"/>
    <w:next w:val="Normal"/>
    <w:rsid w:val="00A040D0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A040D0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A040D0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040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D0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040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0D0"/>
    <w:rPr>
      <w:rFonts w:eastAsiaTheme="minorEastAsi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772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CS/TXT/?uri=OJ:L_202401623" TargetMode="External"/><Relationship Id="rId1" Type="http://schemas.openxmlformats.org/officeDocument/2006/relationships/hyperlink" Target="https://eur-lex.europa.eu/legal-content/CS/TXT/?uri=OJ%3AL%3A2013%3A176%3A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657804-B905-4951-BF92-1BF286988FE8}"/>
</file>

<file path=customXml/itemProps2.xml><?xml version="1.0" encoding="utf-8"?>
<ds:datastoreItem xmlns:ds="http://schemas.openxmlformats.org/officeDocument/2006/customXml" ds:itemID="{13C582B3-4844-4900-9493-083813599A19}"/>
</file>

<file path=customXml/itemProps3.xml><?xml version="1.0" encoding="utf-8"?>
<ds:datastoreItem xmlns:ds="http://schemas.openxmlformats.org/officeDocument/2006/customXml" ds:itemID="{75028D20-69F3-45FB-94BF-8DC9F32E850E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1078</Words>
  <Characters>6190</Characters>
  <Application>Microsoft Office Word</Application>
  <DocSecurity>0</DocSecurity>
  <Lines>134</Lines>
  <Paragraphs>55</Paragraphs>
  <ScaleCrop>false</ScaleCrop>
  <Company>European Banking Authority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Teodora Chilan</dc:creator>
  <cp:keywords/>
  <dc:description/>
  <cp:lastModifiedBy>OBERMAIER Klara (DGT)</cp:lastModifiedBy>
  <cp:revision>5</cp:revision>
  <dcterms:created xsi:type="dcterms:W3CDTF">2021-03-11T11:48:00Z</dcterms:created>
  <dcterms:modified xsi:type="dcterms:W3CDTF">2024-10-17T11:32:00Z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15207bef,593edbd1,41d201cb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2024-09-26T14:40:00Z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0d4717ba-70de-450a-967c-f26c87c45c25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ContentTypeId">
    <vt:lpwstr>0x010100A640DC13EB184F4EBE5AA21BE9F247DB</vt:lpwstr>
  </property>
</Properties>
</file>